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627BB2" w14:textId="77777777" w:rsidR="00C12B7B" w:rsidRPr="00C12B7B" w:rsidRDefault="00C12B7B" w:rsidP="00C12B7B">
      <w:pPr>
        <w:jc w:val="right"/>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Приложение 5 к приказу</w:t>
      </w:r>
    </w:p>
    <w:p w14:paraId="50300BB1" w14:textId="77777777" w:rsidR="00C12B7B" w:rsidRPr="00C12B7B" w:rsidRDefault="00C12B7B" w:rsidP="00C12B7B">
      <w:pPr>
        <w:jc w:val="right"/>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Первого заместителя</w:t>
      </w:r>
    </w:p>
    <w:p w14:paraId="5E3D6FB3" w14:textId="77777777" w:rsidR="00C12B7B" w:rsidRPr="00C12B7B" w:rsidRDefault="00C12B7B" w:rsidP="00C12B7B">
      <w:pPr>
        <w:jc w:val="right"/>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Премьера-Министра</w:t>
      </w:r>
    </w:p>
    <w:p w14:paraId="75F2FD2A" w14:textId="77777777" w:rsidR="00C12B7B" w:rsidRPr="00C12B7B" w:rsidRDefault="00C12B7B" w:rsidP="00C12B7B">
      <w:pPr>
        <w:jc w:val="right"/>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Республики Казахстан –</w:t>
      </w:r>
    </w:p>
    <w:p w14:paraId="05E73DFB" w14:textId="77777777" w:rsidR="00C12B7B" w:rsidRPr="00C12B7B" w:rsidRDefault="00C12B7B" w:rsidP="00C12B7B">
      <w:pPr>
        <w:jc w:val="right"/>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Министра финансов</w:t>
      </w:r>
    </w:p>
    <w:p w14:paraId="13417444" w14:textId="77777777" w:rsidR="00C12B7B" w:rsidRPr="00C12B7B" w:rsidRDefault="00C12B7B" w:rsidP="00C12B7B">
      <w:pPr>
        <w:jc w:val="right"/>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Республики Казахстан</w:t>
      </w:r>
    </w:p>
    <w:p w14:paraId="51162361" w14:textId="77777777" w:rsidR="00C12B7B" w:rsidRPr="00C12B7B" w:rsidRDefault="00C12B7B" w:rsidP="00C12B7B">
      <w:pPr>
        <w:jc w:val="right"/>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от 20 января 2020 года № 39</w:t>
      </w:r>
    </w:p>
    <w:p w14:paraId="59580F70" w14:textId="77777777" w:rsidR="00C12B7B" w:rsidRPr="00C12B7B" w:rsidRDefault="00C12B7B" w:rsidP="00C12B7B">
      <w:pPr>
        <w:jc w:val="center"/>
        <w:rPr>
          <w:rFonts w:ascii="Times New Roman" w:eastAsia="Times New Roman" w:hAnsi="Times New Roman" w:cs="Times New Roman"/>
          <w:b/>
          <w:bCs/>
          <w:color w:val="000000"/>
          <w:sz w:val="24"/>
          <w:szCs w:val="24"/>
          <w:lang w:eastAsia="ru-RU"/>
        </w:rPr>
      </w:pPr>
      <w:r w:rsidRPr="00C12B7B">
        <w:rPr>
          <w:rFonts w:ascii="Times New Roman" w:eastAsia="Times New Roman" w:hAnsi="Times New Roman" w:cs="Times New Roman"/>
          <w:b/>
          <w:bCs/>
          <w:color w:val="000000"/>
          <w:sz w:val="24"/>
          <w:szCs w:val="24"/>
          <w:lang w:eastAsia="ru-RU"/>
        </w:rPr>
        <w:t>Правила составления налоговой отчетности "Расчет суммы авансовых платежей по корпоративному подоходному налогу, подлежащей уплате за период до сдачи декларации", и "Расчет суммы авансовых платежей по корпоративному подоходному налогу, подлежащей уплате за период после сдачи декларации" (формы 101.01 – 101.02)</w:t>
      </w:r>
    </w:p>
    <w:p w14:paraId="2255154E" w14:textId="77777777" w:rsidR="00C12B7B" w:rsidRPr="00C12B7B" w:rsidRDefault="00C12B7B" w:rsidP="00C12B7B">
      <w:pPr>
        <w:jc w:val="center"/>
        <w:rPr>
          <w:rFonts w:ascii="Times New Roman" w:eastAsia="Times New Roman" w:hAnsi="Times New Roman" w:cs="Times New Roman"/>
          <w:b/>
          <w:bCs/>
          <w:color w:val="000000"/>
          <w:sz w:val="24"/>
          <w:szCs w:val="24"/>
          <w:lang w:eastAsia="ru-RU"/>
        </w:rPr>
      </w:pPr>
      <w:bookmarkStart w:id="0" w:name="_GoBack"/>
      <w:r w:rsidRPr="00C12B7B">
        <w:rPr>
          <w:rFonts w:ascii="Times New Roman" w:eastAsia="Times New Roman" w:hAnsi="Times New Roman" w:cs="Times New Roman"/>
          <w:b/>
          <w:bCs/>
          <w:color w:val="000000"/>
          <w:sz w:val="24"/>
          <w:szCs w:val="24"/>
          <w:lang w:eastAsia="ru-RU"/>
        </w:rPr>
        <w:t>Глава</w:t>
      </w:r>
      <w:bookmarkEnd w:id="0"/>
      <w:r w:rsidRPr="00C12B7B">
        <w:rPr>
          <w:rFonts w:ascii="Times New Roman" w:eastAsia="Times New Roman" w:hAnsi="Times New Roman" w:cs="Times New Roman"/>
          <w:b/>
          <w:bCs/>
          <w:color w:val="000000"/>
          <w:sz w:val="24"/>
          <w:szCs w:val="24"/>
          <w:lang w:eastAsia="ru-RU"/>
        </w:rPr>
        <w:t xml:space="preserve"> 1. Общие положения</w:t>
      </w:r>
    </w:p>
    <w:p w14:paraId="351F0E1B"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1. Настоящие Правила составления налоговой отчетности "Расчет суммы авансовых платежей по корпоративному подоходному налогу, подлежащей уплате за период до сдачи декларации", и налоговой отчетности "Расчет суммы авансовых платежей по корпоративному подоходному налогу, подлежащей уплате за период после сдачи декларации (формы 101.01 – 101.02)" (далее – Правила) разработаны в соответствии с Кодексом Республики Казахстан "О налогах и других обязательных платежах в бюджет" (далее – Налоговый кодекс) и определяют порядок составления плательщиками корпоративного подоходного налога (далее – КПН), на которых в соответствии со статьей 305 Налогового кодекса возложено обязательство по исчислению и уплате авансовых платежей по КПН, следующих форм налоговой отчетности:</w:t>
      </w:r>
    </w:p>
    <w:p w14:paraId="036CE134"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расчета суммы авансовых платежей по КПН, подлежащей уплате до сдачи декларации (форма 101.01) (расчет до сдачи декларации);</w:t>
      </w:r>
    </w:p>
    <w:p w14:paraId="03082EA2"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расчета суммы авансовых платежей по КПН, подлежащей уплате после сдачи декларации (форма 101.02) (расчет после сдачи декларации).</w:t>
      </w:r>
    </w:p>
    <w:p w14:paraId="317F3E45"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2. При заполнении расчетов до и после сдачи декларации не допускаются исправления, подчистки и помарки.</w:t>
      </w:r>
    </w:p>
    <w:p w14:paraId="7984A8F7"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3. При отсутствии показателей соответствующие ячейки не заполняются.</w:t>
      </w:r>
    </w:p>
    <w:p w14:paraId="71530C01"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4. В настоящих Правилах применяются арифметические знаки: "+" – плюс, "–" – минус, "х" – умножение, "/" – деление, "=" – равно.</w:t>
      </w:r>
    </w:p>
    <w:p w14:paraId="1A00815F"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5. Отрицательные значения сумм обозначаются знаком "–" в первой левой ячейке соответствующей строки.</w:t>
      </w:r>
    </w:p>
    <w:p w14:paraId="206FC87E"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6. При составлении расчетов до и после сдачи декларации:</w:t>
      </w:r>
    </w:p>
    <w:p w14:paraId="7B6B5F57"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1) на бумажном носителе – расчеты заполняются шариковой или перьевой ручкой, черными или синими чернилами, заглавными печатными символами или с использованием печатающего устройства;</w:t>
      </w:r>
    </w:p>
    <w:p w14:paraId="61357714"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2) в электронной форме – заполняются в соответствии со статьей 208 Налогового кодекса.</w:t>
      </w:r>
    </w:p>
    <w:p w14:paraId="5B261873"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lastRenderedPageBreak/>
        <w:t>7. Расчеты до и после сдачи декларации составляются, подписываются, заверяются (печатью в установленных законодательством Республики Казахстан случаях либо электронной цифровой подписью) налогоплательщиком (налоговым агентом) на бумажном и (или) электронном носителях на казахском и (или) русском языках, в соответствии с пунктом 2 статьи 204 Налогового кодекса.</w:t>
      </w:r>
    </w:p>
    <w:p w14:paraId="5F84D9FA"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8. При представлении расчетов до и после сдачи декларации:</w:t>
      </w:r>
    </w:p>
    <w:p w14:paraId="06AB42BC"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1) в явочном порядке на бумажном носителе – составляются в двух экземплярах, один экземпляр возвращается налогоплательщику (налоговому агенту) с отметкой фамилии, имени и отчества (при его наличии) и подписью работника органа государственных доходов, принявшего декларацию и оттиском печати (штампа);</w:t>
      </w:r>
    </w:p>
    <w:p w14:paraId="732BE3E3"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2) по почте заказным письмом с уведомлением на бумажном носителе – налогоплательщик (налоговый агент) получает уведомление почтовой или иной организации связи;</w:t>
      </w:r>
    </w:p>
    <w:p w14:paraId="75D26124"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3) в электронной форме, допускающем компьютерную обработку информации – налогоплательщик (налоговый агент) получает уведомление о принятии или непринятии налоговой отчетности системой приема налоговой отчетности органов государственных доходов.</w:t>
      </w:r>
    </w:p>
    <w:p w14:paraId="22E58EA7" w14:textId="77777777" w:rsidR="00C12B7B" w:rsidRPr="00C12B7B" w:rsidRDefault="00C12B7B" w:rsidP="00C12B7B">
      <w:pPr>
        <w:jc w:val="center"/>
        <w:rPr>
          <w:rFonts w:ascii="Times New Roman" w:eastAsia="Times New Roman" w:hAnsi="Times New Roman" w:cs="Times New Roman"/>
          <w:b/>
          <w:bCs/>
          <w:color w:val="000000"/>
          <w:sz w:val="24"/>
          <w:szCs w:val="24"/>
          <w:lang w:eastAsia="ru-RU"/>
        </w:rPr>
      </w:pPr>
      <w:r w:rsidRPr="00C12B7B">
        <w:rPr>
          <w:rFonts w:ascii="Times New Roman" w:eastAsia="Times New Roman" w:hAnsi="Times New Roman" w:cs="Times New Roman"/>
          <w:b/>
          <w:bCs/>
          <w:color w:val="000000"/>
          <w:sz w:val="24"/>
          <w:szCs w:val="24"/>
          <w:lang w:eastAsia="ru-RU"/>
        </w:rPr>
        <w:t>Глава 2. Пояснение по заполнению расчета до сдачи декларации (форма 101.01)</w:t>
      </w:r>
    </w:p>
    <w:p w14:paraId="5B9E57C9"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9. В разделе "Общая информация о налогоплательщике" налогоплательщик указывает следующие данные:</w:t>
      </w:r>
    </w:p>
    <w:p w14:paraId="649A9FEC"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1) бизнес-идентификационный номер (далее – БИН) налогоплательщика;</w:t>
      </w:r>
    </w:p>
    <w:p w14:paraId="1AF5FBC6"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2) налоговый период, за который представляется налоговая отчетность – отчетный налоговый период, за который представляется расчет до сдачи декларации (указывается арабскими цифрами);</w:t>
      </w:r>
    </w:p>
    <w:p w14:paraId="69C8A901"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3) наименование налогоплательщика – наименование юридического лица в соответствии с учредительными документами.</w:t>
      </w:r>
    </w:p>
    <w:p w14:paraId="52086F8B"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При исполнении налогового обязательства доверительным управляющим в соответствии с договором доверительного управления имуществом юридическое лицо-доверительный управляющий указывает в строке свое наименование в соответствии с учредительными документами;</w:t>
      </w:r>
    </w:p>
    <w:p w14:paraId="28ABFBB8"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4) вид расчета.</w:t>
      </w:r>
    </w:p>
    <w:p w14:paraId="68E47B9C"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Соответствующие ячейки отмечаются с учетом отнесения расчета до сдачи декларации к видам налоговой отчетности, указанным в статье 206 Налогового кодекса;</w:t>
      </w:r>
    </w:p>
    <w:p w14:paraId="2067119A"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5) отдельные категории налогоплательщика.</w:t>
      </w:r>
    </w:p>
    <w:p w14:paraId="2D1AF313"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Ячейки отмечаются в случае, если налогоплательщик относится к одной или нескольким категориям, указанным в строках A, В и С:</w:t>
      </w:r>
    </w:p>
    <w:p w14:paraId="7DEBE73B"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А – налогоплательщик, применяющий специальный налоговый режим в соответствии со статьями 697-701 Налогового кодекса;</w:t>
      </w:r>
    </w:p>
    <w:p w14:paraId="5E12BFA3"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В – доверительный управляющий в соответствии со статьей 40 Налогового кодекса;</w:t>
      </w:r>
    </w:p>
    <w:p w14:paraId="104EBE23"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lastRenderedPageBreak/>
        <w:t>С – учредитель доверительного управления в соответствии со статьей 40 Налогового кодекса;</w:t>
      </w:r>
    </w:p>
    <w:p w14:paraId="37E10A19"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6) код валюты.</w:t>
      </w:r>
    </w:p>
    <w:p w14:paraId="4F4D4290"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Указывается код валюты в соответствии с приложением 23 "Классификатор валют", утвержденным решением Комиссии Таможенного союза от 20 сентября 2010 года № 378 "О классификаторах, используемых для заполнения таможенных деклараций" (далее – решение КТС № 378);</w:t>
      </w:r>
    </w:p>
    <w:p w14:paraId="61FF7437"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7) признак резидентства:</w:t>
      </w:r>
    </w:p>
    <w:p w14:paraId="201A3D05"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ячейка А отмечается налогоплательщиком-резидентом Республики Казахстан;</w:t>
      </w:r>
    </w:p>
    <w:p w14:paraId="29A3B6E5"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ячейка В отмечается налогоплательщиком-нерезидентом Республики Казахстан;</w:t>
      </w:r>
    </w:p>
    <w:p w14:paraId="08AC2D03"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8) код страны резидентства и номер налоговой регистрации.</w:t>
      </w:r>
    </w:p>
    <w:p w14:paraId="504779F2"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Заполняется в случае, если расчет до сдачи декларации составляется налогоплательщиком-нерезидентом Республики Казахстан, при этом:</w:t>
      </w:r>
    </w:p>
    <w:p w14:paraId="611E190C"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в строке А указывается код страны резидентства нерезидента в соответствии с приложением 22 "Классификатор стран мира" к решению КТС № 378;</w:t>
      </w:r>
    </w:p>
    <w:p w14:paraId="5AB3BCEC"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в строке В указывается номер налоговой регистрации нерезидента в стране резидентства нерезидента.</w:t>
      </w:r>
    </w:p>
    <w:p w14:paraId="3C63823A"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10. В случае если договором доверительного управления на доверительного управляющего возлагается исполнение налогового обязательства по деятельности, осуществляемой в рамках такого договора, юридическое лицо – доверительный управляющий составляет единый расчет до сдачи декларации по своей деятельности и по деятельности, осуществляемой в рамках договора доверительного управления.</w:t>
      </w:r>
    </w:p>
    <w:p w14:paraId="5087B267"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При применении налогоплательщиком специального налогового режима в соответствии со статьями 697, 698, 699, 700 и 701 Налогового кодекса расчет до сдачи декларации составляется в целом по деятельности, осуществляемой в рамках специального налогового режима, и деятельности, налогообложение которой осуществляется в общеустановленном порядке.</w:t>
      </w:r>
    </w:p>
    <w:p w14:paraId="00D3F044"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 xml:space="preserve">Недропользователь составляет единый расчет до сдачи декларации по контрактной и </w:t>
      </w:r>
      <w:proofErr w:type="spellStart"/>
      <w:r w:rsidRPr="00C12B7B">
        <w:rPr>
          <w:rFonts w:ascii="Times New Roman" w:eastAsia="Times New Roman" w:hAnsi="Times New Roman" w:cs="Times New Roman"/>
          <w:color w:val="000000"/>
          <w:sz w:val="24"/>
          <w:szCs w:val="24"/>
          <w:lang w:eastAsia="ru-RU"/>
        </w:rPr>
        <w:t>внеконтрактной</w:t>
      </w:r>
      <w:proofErr w:type="spellEnd"/>
      <w:r w:rsidRPr="00C12B7B">
        <w:rPr>
          <w:rFonts w:ascii="Times New Roman" w:eastAsia="Times New Roman" w:hAnsi="Times New Roman" w:cs="Times New Roman"/>
          <w:color w:val="000000"/>
          <w:sz w:val="24"/>
          <w:szCs w:val="24"/>
          <w:lang w:eastAsia="ru-RU"/>
        </w:rPr>
        <w:t xml:space="preserve"> деятельности.</w:t>
      </w:r>
    </w:p>
    <w:p w14:paraId="5DB501D2"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11. Раздел "Расчет суммы авансовых платежей по КПН в соответствии с подпунктом 1) пункта 5 статьи 305 Налогового кодекса" заполняется налогоплательщиком, который в предыдущем налоговом периоде исчислял, и уплачивал авансовые платежи по КПН.</w:t>
      </w:r>
    </w:p>
    <w:p w14:paraId="0413BA13"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В данном разделе:</w:t>
      </w:r>
    </w:p>
    <w:p w14:paraId="03D60F3F"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1) в строке 101.01.001 указывается общая сумма авансовых платежей по КПН, исчисленная налогоплательщиком в расчетах сумм авансовых платежей за предыдущий налоговый период;</w:t>
      </w:r>
    </w:p>
    <w:p w14:paraId="46139B09"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2) в строке 101.01.002 указывается сумма авансовых платежей по КПН, подлежащая уплате за период до сдачи декларации, определенная как одна четвертая от общей суммы авансовых платежей, исчисленной в расчетах сумм авансовых платежей за предыдущий налоговый период;</w:t>
      </w:r>
    </w:p>
    <w:p w14:paraId="792F761E"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lastRenderedPageBreak/>
        <w:t>3) в строке 101.01.003 указывается сумма ежемесячного авансового платежа за январь, февраль, март месяцы отчетного налогового периода. Определяется как одна третья от строки 101.01.002 (101.01.002/3).</w:t>
      </w:r>
    </w:p>
    <w:p w14:paraId="2CD3528A"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12. Раздел "Расчет суммы авансовых платежей по КПН в соответствии с подпунктом 2) пункта 5 статьи 305 Налогового кодекса" заполняется налогоплательщиком, который в предыдущем налоговом периоде не исчислял, и не уплачивал авансовые платежи по КПН.</w:t>
      </w:r>
    </w:p>
    <w:p w14:paraId="42123281"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В данном разделе:</w:t>
      </w:r>
    </w:p>
    <w:p w14:paraId="4F284572"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1) в строке 101.01.004 указывается сумма КПН, которая предположительно будет исчислена за отчетный налоговый период в соответствии с пунктом 1 статьи 302 Налогового кодекса;</w:t>
      </w:r>
    </w:p>
    <w:p w14:paraId="56FD044C"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2) в строке 101.01.005 указывается сумма КПН, которая предположительно будет исчислена за отчетный налоговый период в соответствии со статьей 652 Налогового кодекса;</w:t>
      </w:r>
    </w:p>
    <w:p w14:paraId="439AC84D"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3) в строке 101.01.006 указывается сумма авансовых платежей по КПН, подлежащих уплате за период до сдачи декларации. Определяется как одна четвертая от суммы строк 101.01.004 и 101.01.005 ((101.01.004 + 101.01.005)/4);</w:t>
      </w:r>
    </w:p>
    <w:p w14:paraId="24031302"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4) строка 101.01.007 заполняется налогоплательщиком, осуществляющим виды деятельности, налогообложение которых осуществляется в соответствии со статьями 697, 698, 699, 700 и 701 Налогового кодекса и отметившими ячейку "А" строки 5.</w:t>
      </w:r>
    </w:p>
    <w:p w14:paraId="24FCEFD2"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В данной строке указывается одна четвертая суммы уменьшения авансовых платежей по КПН, которая определяется в следующем порядке:</w:t>
      </w:r>
    </w:p>
    <w:p w14:paraId="168918B1"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в случае если налогоплательщик осуществляет деятельность исключительно в рамках специального налогового режима в соответствии со статьями 697, 698, 699, 700 и 701 Налогового кодекса – в размере 70 (семьдесят) процентов от суммы КПН, которая предположительно будет исчислена по итогам налогового периода в соответствии с пунктом 1 статьи 302 Налогового кодекса ((101.01.004/4) х 70%);</w:t>
      </w:r>
    </w:p>
    <w:p w14:paraId="24850A21"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в случае если налогоплательщик одновременно осуществляет виды деятельности, налогообложение которых осуществляется в соответствии со статьями 697, 698, 699, 700 и 701 Налогового кодекса, а также виды деятельности, налогообложение которых производится в общеустановленном порядке – в размере 70 (семьдесят) процентов от суммы КПН, которая предположительно будет исчислена по итогам налогового периода в соответствии с пунктом 1 статьи 302 Налогового кодекса с налогооблагаемого дохода, полученного по видам деятельности, налогообложение которых осуществляется в соответствии со статьями 697, 698, 699, 700 и 701 Налогового кодекса;</w:t>
      </w:r>
    </w:p>
    <w:p w14:paraId="1EE266F0"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5) в строке 101.01.008 указывается итоговая сумма авансовых платежей по КПН, подлежащая уплате за период до сдачи декларации.</w:t>
      </w:r>
    </w:p>
    <w:p w14:paraId="6E93BB95"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В случае если отмечена ячейка "A" строки 5, данная строка определяется с учетом строки 101.01.007 (101.01.006 – 101.01.007). В случае если ячейка "А" строки 5 не отмечена, в данную строку переносится значение строки 101.01.006;</w:t>
      </w:r>
    </w:p>
    <w:p w14:paraId="34903E63"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6)в строке 101.01.009 указывается ежемесячная сумма авансового платежа за январь, февраль, март месяцы налогового периода. Определяется как одна третья от строки 101.00.008 (101.01.008/3);</w:t>
      </w:r>
    </w:p>
    <w:p w14:paraId="1CB62E2A"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13. В разделе "Ответственность налогоплательщика":</w:t>
      </w:r>
    </w:p>
    <w:p w14:paraId="1415BEB4"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lastRenderedPageBreak/>
        <w:t>1) в поле "Фамилия, имя, отчество (при его наличии) руководителя" указываются фамилия, имя, отчество (при его наличии) руководителя в соответствии с учредительными документами;</w:t>
      </w:r>
    </w:p>
    <w:p w14:paraId="2141B0C5"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2) дата подачи расчета – дата подачи расчета до сдачи декларации в орган государственных доходов;</w:t>
      </w:r>
    </w:p>
    <w:p w14:paraId="702743F0"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3) код органа государственных доходов – код органа государственных доходов по месту нахождения налогоплательщика;</w:t>
      </w:r>
    </w:p>
    <w:p w14:paraId="2D664E3E"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4) в поле "Фамилия, имя, отчество (при его наличии) должностного лица, принявшего расчет" указывается фамилия, имя, отчество (при его наличии) работника органа государственных доходов, принявшего расчет до сдачи декларации;</w:t>
      </w:r>
    </w:p>
    <w:p w14:paraId="48D46455"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5) дата приема расчета – дата представления расчета до сдачи декларации в соответствии с пунктом 2 статьи 209 Налогового кодекса;</w:t>
      </w:r>
    </w:p>
    <w:p w14:paraId="1719F97B"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6) входящий номер документа – регистрационный номер расчета до сдачи декларации, присваиваемый органом государственных доходов;</w:t>
      </w:r>
    </w:p>
    <w:p w14:paraId="5A84AD09"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7) дата почтового штемпеля – дата почтового штемпеля, проставленного почтовой или иной организацией связи.</w:t>
      </w:r>
    </w:p>
    <w:p w14:paraId="2EEF2BCE" w14:textId="77777777" w:rsidR="00C12B7B" w:rsidRPr="00C12B7B" w:rsidRDefault="00C12B7B" w:rsidP="00C12B7B">
      <w:pPr>
        <w:jc w:val="center"/>
        <w:rPr>
          <w:rFonts w:ascii="Times New Roman" w:eastAsia="Times New Roman" w:hAnsi="Times New Roman" w:cs="Times New Roman"/>
          <w:b/>
          <w:bCs/>
          <w:color w:val="000000"/>
          <w:sz w:val="24"/>
          <w:szCs w:val="24"/>
          <w:lang w:eastAsia="ru-RU"/>
        </w:rPr>
      </w:pPr>
      <w:r w:rsidRPr="00C12B7B">
        <w:rPr>
          <w:rFonts w:ascii="Times New Roman" w:eastAsia="Times New Roman" w:hAnsi="Times New Roman" w:cs="Times New Roman"/>
          <w:b/>
          <w:bCs/>
          <w:color w:val="000000"/>
          <w:sz w:val="24"/>
          <w:szCs w:val="24"/>
          <w:lang w:eastAsia="ru-RU"/>
        </w:rPr>
        <w:t>Глава 3. Пояснение по заполнению расчета после сдачи декларации (форма 101.02)</w:t>
      </w:r>
    </w:p>
    <w:p w14:paraId="28704924"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14. В разделе "Общая информация о налогоплательщике" налогоплательщик указывает следующие данные:</w:t>
      </w:r>
    </w:p>
    <w:p w14:paraId="76B2B29B"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1) БИН налогоплательщика;</w:t>
      </w:r>
    </w:p>
    <w:p w14:paraId="407ADDEB"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2) налоговый период, за который представляется налоговая отчетность – отчетный налоговый период, за который представляется расчет после сдачи декларации (указывается арабскими цифрами);</w:t>
      </w:r>
    </w:p>
    <w:p w14:paraId="44A052B8"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3) наименование налогоплательщика – наименование юридического лица в соответствии с учредительными документами;</w:t>
      </w:r>
    </w:p>
    <w:p w14:paraId="55922838"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4) вид расчета.</w:t>
      </w:r>
    </w:p>
    <w:p w14:paraId="631DE234"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Соответствующие ячейки отмечаются с учетом отнесения расчета после сдачи декларации к видам налоговой отчетности, указанным в статье 206 Налогового кодекса;</w:t>
      </w:r>
    </w:p>
    <w:p w14:paraId="0C7BDA62"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5) номер и дата уведомления.</w:t>
      </w:r>
    </w:p>
    <w:p w14:paraId="06758DE3"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Строки заполняются в случае предоставления дополнительного расчета после сдачи декларации по уведомлению, предусмотренного подпунктом 4) пункта 3 статьи 206 Налогового кодекса;</w:t>
      </w:r>
    </w:p>
    <w:p w14:paraId="66D0FE5A"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6) отдельные категории налогоплательщика.</w:t>
      </w:r>
    </w:p>
    <w:p w14:paraId="7ABAA812"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Ячейки отмечаются в случае, если налогоплательщик относится к одной или нескольким категориям, указанным в строках A, В и С:</w:t>
      </w:r>
    </w:p>
    <w:p w14:paraId="65CEB186"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А – налогоплательщик, применяющий специальный налоговый режим в соответствии со статьями 697-701 Налогового кодекса;</w:t>
      </w:r>
    </w:p>
    <w:p w14:paraId="457D4C9A"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В – доверительный управляющий в соответствии со статьей 40 Налогового кодекса;</w:t>
      </w:r>
    </w:p>
    <w:p w14:paraId="72F09180"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lastRenderedPageBreak/>
        <w:t>С – учредитель доверительного управления в соответствии со статьей 40 Налогового кодекса;</w:t>
      </w:r>
    </w:p>
    <w:p w14:paraId="120AC860"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7) код валюты в соответствии с приложением 23 "Классификатор валют" к решению КТС № 378;</w:t>
      </w:r>
    </w:p>
    <w:p w14:paraId="42B5BB81"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8) признак резидентства:</w:t>
      </w:r>
    </w:p>
    <w:p w14:paraId="50E71948"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ячейка А отмечается налогоплательщиком-резидентом Республики Казахстан;</w:t>
      </w:r>
    </w:p>
    <w:p w14:paraId="4CC1BBB1"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ячейка В отмечается налогоплательщиком-нерезидентом Республики Казахстан;</w:t>
      </w:r>
    </w:p>
    <w:p w14:paraId="3F4A5BA7"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9) код страны резидентства и номер налоговой регистрации.</w:t>
      </w:r>
    </w:p>
    <w:p w14:paraId="22AAF428"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Заполняется в случае, если расчет после сдачи декларации составляется налогоплательщиком-нерезидентом Республики Казахстан, при этом:</w:t>
      </w:r>
    </w:p>
    <w:p w14:paraId="136557E2"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в строке А указывается код страны резидентства нерезидента в соответствии с приложением 22 "Классификатор стран мира" к решению КТС № 378;</w:t>
      </w:r>
    </w:p>
    <w:p w14:paraId="31E9392B"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в строке В указывается номер налоговой регистрации нерезидента в стране резидентства нерезидента.</w:t>
      </w:r>
    </w:p>
    <w:p w14:paraId="5B42E5B6"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15. В случае если договором доверительного управления на доверительного управляющего возлагается исполнение налогового обязательства по деятельности, осуществляемой в рамках такого договора, юридическое лицо-доверительный управляющий составляет единый расчет после сдачи декларации по своей деятельности и по деятельности, осуществляемой в рамках договора доверительного управления.</w:t>
      </w:r>
    </w:p>
    <w:p w14:paraId="30734EB6"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При применении налогоплательщиком специального налогового режима в соответствии со статьями 697, 698, 699, 700 и 701 Налогового кодекса, такой налогоплательщик составляет единый расчет после сдачи декларации по деятельности, осуществляемой в рамках специального налогового режима, и деятельности, налогообложение которой осуществляется в общеустановленном порядке.</w:t>
      </w:r>
    </w:p>
    <w:p w14:paraId="529F5C8E"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 xml:space="preserve">Недропользователь составляет единый расчет после сдачи декларации по контрактной и </w:t>
      </w:r>
      <w:proofErr w:type="spellStart"/>
      <w:r w:rsidRPr="00C12B7B">
        <w:rPr>
          <w:rFonts w:ascii="Times New Roman" w:eastAsia="Times New Roman" w:hAnsi="Times New Roman" w:cs="Times New Roman"/>
          <w:color w:val="000000"/>
          <w:sz w:val="24"/>
          <w:szCs w:val="24"/>
          <w:lang w:eastAsia="ru-RU"/>
        </w:rPr>
        <w:t>внеконтрактной</w:t>
      </w:r>
      <w:proofErr w:type="spellEnd"/>
      <w:r w:rsidRPr="00C12B7B">
        <w:rPr>
          <w:rFonts w:ascii="Times New Roman" w:eastAsia="Times New Roman" w:hAnsi="Times New Roman" w:cs="Times New Roman"/>
          <w:color w:val="000000"/>
          <w:sz w:val="24"/>
          <w:szCs w:val="24"/>
          <w:lang w:eastAsia="ru-RU"/>
        </w:rPr>
        <w:t xml:space="preserve"> деятельности.</w:t>
      </w:r>
    </w:p>
    <w:p w14:paraId="46AE9584"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16. В разделе "Исчисленная сумма КПН за предыдущий налоговый период":</w:t>
      </w:r>
    </w:p>
    <w:p w14:paraId="32AAD24E"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1) в строке 101.02.001 указывается исчисленная за предыдущий налоговый период сумма КПН, определенная как сумма строк 101.02.001 I и 101.02.001 II;</w:t>
      </w:r>
    </w:p>
    <w:p w14:paraId="5E52BCA5"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2) в строке 101.02.001 I указывается сумма КПН, исчисленная за предыдущий налоговый период в соответствии с пунктом 1 статьи 302 Налогового кодекса;</w:t>
      </w:r>
    </w:p>
    <w:p w14:paraId="271BFCA1"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3) в строке 101.02.001 II указывается сумма КПН, исчисленная за предыдущий налоговый период в соответствии со статьей 652 Налогового кодекса на чистый доход.</w:t>
      </w:r>
    </w:p>
    <w:p w14:paraId="77B77B89"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17. В разделе "Расчет суммы авансовых платежей по КПН в соответствии с подпунктом 3) пункта 5 статьи 305 Налогового кодекса":</w:t>
      </w:r>
    </w:p>
    <w:p w14:paraId="550B28CF"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1) в строке 101.02.002 указывается сумма авансовых платежей по КПН, подлежащая уплате за период после сдачи декларации и определенная в размере трех четвертых от указанной в строке 101.02.001 суммы КПН за предыдущий налоговый период (3/4 * 101.02.001);</w:t>
      </w:r>
    </w:p>
    <w:p w14:paraId="282978B9"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lastRenderedPageBreak/>
        <w:t>2) строка 101.02.003 заполняется налогоплательщиком, который в предыдущем налоговом периоде применял специальный налоговый режим в соответствии со статьями 697, 698, 699, 700 и 701 Налогового кодекса и, при этом:</w:t>
      </w:r>
    </w:p>
    <w:p w14:paraId="5A091DC8"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применяет такой режим в отчетном налоговом периоде;</w:t>
      </w:r>
    </w:p>
    <w:p w14:paraId="2AC873EC"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при заполнении данного расчета отметил ячейку "А" строки 6.</w:t>
      </w:r>
    </w:p>
    <w:p w14:paraId="6713FEA5"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В данной строке указывается три четвертых суммы уменьшения авансовых платежей в соответствии со статьей 700 Налогового кодекса, которая определяется в следующем порядке:</w:t>
      </w:r>
    </w:p>
    <w:p w14:paraId="051CFEF3"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в случае если налогоплательщик в предыдущем налоговом периоде осуществлял деятельность исключительно в рамках СНР в соответствии со статьями 697, 698, 699, 700 и 701 Налогового кодекса – в размере 70 (семьдесят) процентов от суммы КПН, исчисленной за предыдущий налоговый период в соответствии с пунктом 1 статьи 302 Налогового кодекса ((101.02.001 I х 3/4)х 70%);</w:t>
      </w:r>
    </w:p>
    <w:p w14:paraId="446D5F2F"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в случае если налогоплательщик в предыдущем налоговом периоде одновременно осуществлял виды деятельности, налогообложение которых осуществлялось в соответствии со статьями 697, 698, 699, 700 и 701 Налогового кодекса, и виды деятельности, налогообложение которых производилось в общеустановленном порядке – в размере 70 (семьдесят) процентов от суммы КПН, которая была исчислена по итогам предыдущего налогового периода в соответствии с пунктом 1 статьи 302 Налогового кодекса с налогооблагаемого дохода, полученного по видам деятельности, налогообложение которых осуществлялось в соответствии со статьями 697, 698, 699, 700 и 701 Налогового кодекса;</w:t>
      </w:r>
    </w:p>
    <w:p w14:paraId="32E95CAD"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3) в строке 101.02.004 указывается сумма ежемесячного авансового платежа по КПН, подлежащая уплате за 2, 3 и 4 кварталы отчетного налогового периода.</w:t>
      </w:r>
    </w:p>
    <w:p w14:paraId="3D952114"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В случае если отмечена ячейка "А" строки 6, строка 101.02.004 определяется с учетом строки 101.02.003 ((101.02.001 I – 101.02.003 + 101.02.001 II)/9).</w:t>
      </w:r>
    </w:p>
    <w:p w14:paraId="1D22DA01"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В случае если ячейка "А" строки 6 не отмечена, строка 100.00.004 определяется как одна девятая строки 100.00.002 (100.02.002/9).</w:t>
      </w:r>
    </w:p>
    <w:p w14:paraId="5D1214C1"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18. В разделе "Расчет суммы авансовых платежей по КПН в соответствии с подпунктом 4) пункт 5 статьи 305 Налогового кодекса":</w:t>
      </w:r>
    </w:p>
    <w:p w14:paraId="19B31964"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1) в строке 101.02.005 указывается сумма КПН, которая предположительно будет получена по итогам отчетного налогового периода при ее исчислении в соответствии с пунктом 1 статьи 302 Налогового кодекса;</w:t>
      </w:r>
    </w:p>
    <w:p w14:paraId="06E1CCAD"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2) в строке 101.02.006 указывается сумма КПН, которая предположительно будет получена по итогам отчетного налогового периода при ее исчислении в соответствии со статьей 652 Налогового кодекса;</w:t>
      </w:r>
    </w:p>
    <w:p w14:paraId="1F75B6EE"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3) в строке 101.02.007 указывается сумма авансовых платежей по КПН, подлежащая уплате после сдачи декларации, исчисленная как три четвертых от предполагаемой суммы КПН за отчетный налоговый период ((101.02.005 + 101.02.006) х (3/4));</w:t>
      </w:r>
    </w:p>
    <w:p w14:paraId="01F79724"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4) строка 101.02.008 заполняется налогоплательщиком, осуществляющим деятельность в рамках специального налогового режима в соответствии со статьями 697, 698, 699, 700 и 701 Налогового кодекса и отметившим ячейку "А" строки 6.</w:t>
      </w:r>
    </w:p>
    <w:p w14:paraId="126DE8EB"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lastRenderedPageBreak/>
        <w:t>В данной строке указывается сумма уменьшения авансовых платежей по КПН, которая определяется в следующем порядке:</w:t>
      </w:r>
    </w:p>
    <w:p w14:paraId="1D8D32A0"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в случае если налогоплательщик осуществляет деятельность исключительно в рамках специального налогового режима в соответствии со статьями 697, 698, 699, 700 и 701 Налогового кодекса – в размере 70 (семьдесят) процентов от суммы КПН, которая предположительно будет исчислена по итогам налогового периода в соответствии с пунктом 1 статьи 302 Налогового кодекса ((101.02.005 х 70%) * 3/4);</w:t>
      </w:r>
    </w:p>
    <w:p w14:paraId="4CDBF7E5"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в случае если налогоплательщик осуществляет деятельность в рамках специального налогового режима в соответствии со статьями 697, 698, 699, 700 и 701 Налогового кодекса и деятельность, налогообложение которой осуществляется в общеустановленном порядке – в размере 3/4 от суммы, определенной в размере 70 (семьдесят) процентов суммы КПН, которая предположительно будет исчислена по итогам отчетного налогового периода в соответствии с пунктом 1 статьи 302 Налогового кодекса с налогооблагаемого дохода, полученного по видам деятельности, налогообложение которых осуществляется в соответствии со статьями 697, 698, 699, 700 и 701 Налогового кодекса;</w:t>
      </w:r>
    </w:p>
    <w:p w14:paraId="2DC1E8E1"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5) в строке 101.02.009 указывается сумма ежемесячного авансового платежа по КПН, подлежащая уплате за 2, 3 и 4 кварталы отчетного налогового периода.</w:t>
      </w:r>
    </w:p>
    <w:p w14:paraId="030FCDAB"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В случае если отмечена ячейка "А" строки 6, строка 101.02.009 определяется с учетом строки 101.02.008 ((101.02.007 – 101.02.008)/9).</w:t>
      </w:r>
    </w:p>
    <w:p w14:paraId="1051C901"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В случае если ячейка "А" строки 6 не отмечена, строка 101.02.009 определяется как одна девятая строки 101.02.007 (101.02.007/9).</w:t>
      </w:r>
    </w:p>
    <w:p w14:paraId="2C98E177"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19. В соответствии с пунктом 7 статьи 305 Налогового кодекса налогоплательщик вправе в течение отчетного налогового периода представить дополнительный расчет после сдачи декларации, исходя из предполагаемой суммы дохода за отчетный налоговый период за месяцы отчетного налогового периода, по которым не наступили сроки уплаты авансовых платежей по КПН, с указанием суммы корректировки в строке 101.02.004 или в строке 100.02.009 расчета после сдачи декларации.</w:t>
      </w:r>
    </w:p>
    <w:p w14:paraId="000E6242"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Суммы авансовых платежей по КПН, подлежащих уплате за период после сдачи декларации, с учетом корректировок, указанных в дополнительных расчетах после сдачи декларации, не могут иметь отрицательное значение.</w:t>
      </w:r>
    </w:p>
    <w:p w14:paraId="42DC3127"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20. В разделе "Ответственность налогоплательщика":</w:t>
      </w:r>
    </w:p>
    <w:p w14:paraId="14568156"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1) в поле "Фамилия, имя, отчество (при его наличии) руководителя" указываются фамилия, имя, отчество (при его наличии) руководителя в соответствии с учредительными документами;</w:t>
      </w:r>
    </w:p>
    <w:p w14:paraId="55AC6B06"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2) дата подачи расчета – дата подачи расчета после сдачи декларации в орган государственных доходов;</w:t>
      </w:r>
    </w:p>
    <w:p w14:paraId="5292BA84"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3) код органа государственных доходов – код органа государственных доходов по месту нахождения налогоплательщика;</w:t>
      </w:r>
    </w:p>
    <w:p w14:paraId="620A4506"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4) в поле "Фамилия, имя, отчество (при его наличии) должностного лиц, принявшего расчет" указывается фамилия, имя, отчество (при его наличии) работника органа государственных доходов, принявшего расчет после сдачи декларации;</w:t>
      </w:r>
    </w:p>
    <w:p w14:paraId="3F06E6AC"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lastRenderedPageBreak/>
        <w:t>5) дата приема расчета – дата представления расчета в соответствии с пунктом 2 статьи 209 Налогового кодекса;</w:t>
      </w:r>
    </w:p>
    <w:p w14:paraId="06CC391E"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6) входящий номер документа – регистрационный номер расчета после сдачи декларации, присваиваемый органом государственных доходов;</w:t>
      </w:r>
    </w:p>
    <w:p w14:paraId="63B7E533" w14:textId="77777777" w:rsidR="00C12B7B" w:rsidRPr="00C12B7B" w:rsidRDefault="00C12B7B" w:rsidP="00C12B7B">
      <w:pPr>
        <w:jc w:val="both"/>
        <w:rPr>
          <w:rFonts w:ascii="Times New Roman" w:eastAsia="Times New Roman" w:hAnsi="Times New Roman" w:cs="Times New Roman"/>
          <w:color w:val="000000"/>
          <w:sz w:val="24"/>
          <w:szCs w:val="24"/>
          <w:lang w:eastAsia="ru-RU"/>
        </w:rPr>
      </w:pPr>
      <w:r w:rsidRPr="00C12B7B">
        <w:rPr>
          <w:rFonts w:ascii="Times New Roman" w:eastAsia="Times New Roman" w:hAnsi="Times New Roman" w:cs="Times New Roman"/>
          <w:color w:val="000000"/>
          <w:sz w:val="24"/>
          <w:szCs w:val="24"/>
          <w:lang w:eastAsia="ru-RU"/>
        </w:rPr>
        <w:t>7) дата почтового штемпеля – дата почтового штемпеля, проставленного почтовой или иной организацией связи.</w:t>
      </w:r>
    </w:p>
    <w:p w14:paraId="51AC7FF1" w14:textId="20E0C34D" w:rsidR="00972A89" w:rsidRPr="00C12B7B" w:rsidRDefault="00C12B7B" w:rsidP="00C12B7B">
      <w:pPr>
        <w:jc w:val="both"/>
      </w:pPr>
      <w:r w:rsidRPr="00C12B7B">
        <w:rPr>
          <w:rFonts w:ascii="Times New Roman" w:eastAsia="Times New Roman" w:hAnsi="Times New Roman" w:cs="Times New Roman"/>
          <w:color w:val="000000"/>
          <w:sz w:val="24"/>
          <w:szCs w:val="24"/>
          <w:lang w:eastAsia="ru-RU"/>
        </w:rPr>
        <w:t>Подпункты 4), 5), 6) и 7) настоящего пункта заполняются работником органа государственных доходов, принявшим расчет на бумажном носителе.</w:t>
      </w:r>
    </w:p>
    <w:sectPr w:rsidR="00972A89" w:rsidRPr="00C12B7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5BB"/>
    <w:rsid w:val="000D75BB"/>
    <w:rsid w:val="001E0419"/>
    <w:rsid w:val="00284978"/>
    <w:rsid w:val="0047351D"/>
    <w:rsid w:val="0060453F"/>
    <w:rsid w:val="00972A89"/>
    <w:rsid w:val="00986038"/>
    <w:rsid w:val="00B01E4F"/>
    <w:rsid w:val="00B5163C"/>
    <w:rsid w:val="00C12B7B"/>
    <w:rsid w:val="00DE6F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3B628"/>
  <w15:chartTrackingRefBased/>
  <w15:docId w15:val="{BFC626C9-442B-4240-B088-97914B861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3">
    <w:name w:val="heading 3"/>
    <w:basedOn w:val="a"/>
    <w:link w:val="30"/>
    <w:uiPriority w:val="9"/>
    <w:qFormat/>
    <w:rsid w:val="00B5163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B5163C"/>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B516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te">
    <w:name w:val="note"/>
    <w:basedOn w:val="a"/>
    <w:rsid w:val="00B516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B5163C"/>
    <w:rPr>
      <w:color w:val="0000FF"/>
      <w:u w:val="single"/>
    </w:rPr>
  </w:style>
  <w:style w:type="character" w:styleId="a5">
    <w:name w:val="Unresolved Mention"/>
    <w:basedOn w:val="a0"/>
    <w:uiPriority w:val="99"/>
    <w:semiHidden/>
    <w:unhideWhenUsed/>
    <w:rsid w:val="00B5163C"/>
    <w:rPr>
      <w:color w:val="605E5C"/>
      <w:shd w:val="clear" w:color="auto" w:fill="E1DFDD"/>
    </w:rPr>
  </w:style>
  <w:style w:type="paragraph" w:styleId="a6">
    <w:name w:val="List Paragraph"/>
    <w:basedOn w:val="a"/>
    <w:uiPriority w:val="34"/>
    <w:qFormat/>
    <w:rsid w:val="004735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1101">
      <w:bodyDiv w:val="1"/>
      <w:marLeft w:val="0"/>
      <w:marRight w:val="0"/>
      <w:marTop w:val="0"/>
      <w:marBottom w:val="0"/>
      <w:divBdr>
        <w:top w:val="none" w:sz="0" w:space="0" w:color="auto"/>
        <w:left w:val="none" w:sz="0" w:space="0" w:color="auto"/>
        <w:bottom w:val="none" w:sz="0" w:space="0" w:color="auto"/>
        <w:right w:val="none" w:sz="0" w:space="0" w:color="auto"/>
      </w:divBdr>
    </w:div>
    <w:div w:id="244802489">
      <w:bodyDiv w:val="1"/>
      <w:marLeft w:val="0"/>
      <w:marRight w:val="0"/>
      <w:marTop w:val="0"/>
      <w:marBottom w:val="0"/>
      <w:divBdr>
        <w:top w:val="none" w:sz="0" w:space="0" w:color="auto"/>
        <w:left w:val="none" w:sz="0" w:space="0" w:color="auto"/>
        <w:bottom w:val="none" w:sz="0" w:space="0" w:color="auto"/>
        <w:right w:val="none" w:sz="0" w:space="0" w:color="auto"/>
      </w:divBdr>
    </w:div>
    <w:div w:id="554464061">
      <w:bodyDiv w:val="1"/>
      <w:marLeft w:val="0"/>
      <w:marRight w:val="0"/>
      <w:marTop w:val="0"/>
      <w:marBottom w:val="0"/>
      <w:divBdr>
        <w:top w:val="none" w:sz="0" w:space="0" w:color="auto"/>
        <w:left w:val="none" w:sz="0" w:space="0" w:color="auto"/>
        <w:bottom w:val="none" w:sz="0" w:space="0" w:color="auto"/>
        <w:right w:val="none" w:sz="0" w:space="0" w:color="auto"/>
      </w:divBdr>
    </w:div>
    <w:div w:id="660548633">
      <w:bodyDiv w:val="1"/>
      <w:marLeft w:val="0"/>
      <w:marRight w:val="0"/>
      <w:marTop w:val="0"/>
      <w:marBottom w:val="0"/>
      <w:divBdr>
        <w:top w:val="none" w:sz="0" w:space="0" w:color="auto"/>
        <w:left w:val="none" w:sz="0" w:space="0" w:color="auto"/>
        <w:bottom w:val="none" w:sz="0" w:space="0" w:color="auto"/>
        <w:right w:val="none" w:sz="0" w:space="0" w:color="auto"/>
      </w:divBdr>
    </w:div>
    <w:div w:id="689838340">
      <w:bodyDiv w:val="1"/>
      <w:marLeft w:val="0"/>
      <w:marRight w:val="0"/>
      <w:marTop w:val="0"/>
      <w:marBottom w:val="0"/>
      <w:divBdr>
        <w:top w:val="none" w:sz="0" w:space="0" w:color="auto"/>
        <w:left w:val="none" w:sz="0" w:space="0" w:color="auto"/>
        <w:bottom w:val="none" w:sz="0" w:space="0" w:color="auto"/>
        <w:right w:val="none" w:sz="0" w:space="0" w:color="auto"/>
      </w:divBdr>
    </w:div>
    <w:div w:id="779224192">
      <w:bodyDiv w:val="1"/>
      <w:marLeft w:val="0"/>
      <w:marRight w:val="0"/>
      <w:marTop w:val="0"/>
      <w:marBottom w:val="0"/>
      <w:divBdr>
        <w:top w:val="none" w:sz="0" w:space="0" w:color="auto"/>
        <w:left w:val="none" w:sz="0" w:space="0" w:color="auto"/>
        <w:bottom w:val="none" w:sz="0" w:space="0" w:color="auto"/>
        <w:right w:val="none" w:sz="0" w:space="0" w:color="auto"/>
      </w:divBdr>
    </w:div>
    <w:div w:id="905263443">
      <w:bodyDiv w:val="1"/>
      <w:marLeft w:val="0"/>
      <w:marRight w:val="0"/>
      <w:marTop w:val="0"/>
      <w:marBottom w:val="0"/>
      <w:divBdr>
        <w:top w:val="none" w:sz="0" w:space="0" w:color="auto"/>
        <w:left w:val="none" w:sz="0" w:space="0" w:color="auto"/>
        <w:bottom w:val="none" w:sz="0" w:space="0" w:color="auto"/>
        <w:right w:val="none" w:sz="0" w:space="0" w:color="auto"/>
      </w:divBdr>
    </w:div>
    <w:div w:id="1214191244">
      <w:bodyDiv w:val="1"/>
      <w:marLeft w:val="0"/>
      <w:marRight w:val="0"/>
      <w:marTop w:val="0"/>
      <w:marBottom w:val="0"/>
      <w:divBdr>
        <w:top w:val="none" w:sz="0" w:space="0" w:color="auto"/>
        <w:left w:val="none" w:sz="0" w:space="0" w:color="auto"/>
        <w:bottom w:val="none" w:sz="0" w:space="0" w:color="auto"/>
        <w:right w:val="none" w:sz="0" w:space="0" w:color="auto"/>
      </w:divBdr>
    </w:div>
    <w:div w:id="1386370968">
      <w:bodyDiv w:val="1"/>
      <w:marLeft w:val="0"/>
      <w:marRight w:val="0"/>
      <w:marTop w:val="0"/>
      <w:marBottom w:val="0"/>
      <w:divBdr>
        <w:top w:val="none" w:sz="0" w:space="0" w:color="auto"/>
        <w:left w:val="none" w:sz="0" w:space="0" w:color="auto"/>
        <w:bottom w:val="none" w:sz="0" w:space="0" w:color="auto"/>
        <w:right w:val="none" w:sz="0" w:space="0" w:color="auto"/>
      </w:divBdr>
    </w:div>
    <w:div w:id="1524319347">
      <w:bodyDiv w:val="1"/>
      <w:marLeft w:val="0"/>
      <w:marRight w:val="0"/>
      <w:marTop w:val="0"/>
      <w:marBottom w:val="0"/>
      <w:divBdr>
        <w:top w:val="none" w:sz="0" w:space="0" w:color="auto"/>
        <w:left w:val="none" w:sz="0" w:space="0" w:color="auto"/>
        <w:bottom w:val="none" w:sz="0" w:space="0" w:color="auto"/>
        <w:right w:val="none" w:sz="0" w:space="0" w:color="auto"/>
      </w:divBdr>
    </w:div>
    <w:div w:id="1530335868">
      <w:bodyDiv w:val="1"/>
      <w:marLeft w:val="0"/>
      <w:marRight w:val="0"/>
      <w:marTop w:val="0"/>
      <w:marBottom w:val="0"/>
      <w:divBdr>
        <w:top w:val="none" w:sz="0" w:space="0" w:color="auto"/>
        <w:left w:val="none" w:sz="0" w:space="0" w:color="auto"/>
        <w:bottom w:val="none" w:sz="0" w:space="0" w:color="auto"/>
        <w:right w:val="none" w:sz="0" w:space="0" w:color="auto"/>
      </w:divBdr>
    </w:div>
    <w:div w:id="1601797636">
      <w:bodyDiv w:val="1"/>
      <w:marLeft w:val="0"/>
      <w:marRight w:val="0"/>
      <w:marTop w:val="0"/>
      <w:marBottom w:val="0"/>
      <w:divBdr>
        <w:top w:val="none" w:sz="0" w:space="0" w:color="auto"/>
        <w:left w:val="none" w:sz="0" w:space="0" w:color="auto"/>
        <w:bottom w:val="none" w:sz="0" w:space="0" w:color="auto"/>
        <w:right w:val="none" w:sz="0" w:space="0" w:color="auto"/>
      </w:divBdr>
    </w:div>
    <w:div w:id="1625303916">
      <w:bodyDiv w:val="1"/>
      <w:marLeft w:val="0"/>
      <w:marRight w:val="0"/>
      <w:marTop w:val="0"/>
      <w:marBottom w:val="0"/>
      <w:divBdr>
        <w:top w:val="none" w:sz="0" w:space="0" w:color="auto"/>
        <w:left w:val="none" w:sz="0" w:space="0" w:color="auto"/>
        <w:bottom w:val="none" w:sz="0" w:space="0" w:color="auto"/>
        <w:right w:val="none" w:sz="0" w:space="0" w:color="auto"/>
      </w:divBdr>
    </w:div>
    <w:div w:id="1666664258">
      <w:bodyDiv w:val="1"/>
      <w:marLeft w:val="0"/>
      <w:marRight w:val="0"/>
      <w:marTop w:val="0"/>
      <w:marBottom w:val="0"/>
      <w:divBdr>
        <w:top w:val="none" w:sz="0" w:space="0" w:color="auto"/>
        <w:left w:val="none" w:sz="0" w:space="0" w:color="auto"/>
        <w:bottom w:val="none" w:sz="0" w:space="0" w:color="auto"/>
        <w:right w:val="none" w:sz="0" w:space="0" w:color="auto"/>
      </w:divBdr>
    </w:div>
    <w:div w:id="1735423716">
      <w:bodyDiv w:val="1"/>
      <w:marLeft w:val="0"/>
      <w:marRight w:val="0"/>
      <w:marTop w:val="0"/>
      <w:marBottom w:val="0"/>
      <w:divBdr>
        <w:top w:val="none" w:sz="0" w:space="0" w:color="auto"/>
        <w:left w:val="none" w:sz="0" w:space="0" w:color="auto"/>
        <w:bottom w:val="none" w:sz="0" w:space="0" w:color="auto"/>
        <w:right w:val="none" w:sz="0" w:space="0" w:color="auto"/>
      </w:divBdr>
    </w:div>
    <w:div w:id="1877935056">
      <w:bodyDiv w:val="1"/>
      <w:marLeft w:val="0"/>
      <w:marRight w:val="0"/>
      <w:marTop w:val="0"/>
      <w:marBottom w:val="0"/>
      <w:divBdr>
        <w:top w:val="none" w:sz="0" w:space="0" w:color="auto"/>
        <w:left w:val="none" w:sz="0" w:space="0" w:color="auto"/>
        <w:bottom w:val="none" w:sz="0" w:space="0" w:color="auto"/>
        <w:right w:val="none" w:sz="0" w:space="0" w:color="auto"/>
      </w:divBdr>
    </w:div>
    <w:div w:id="188077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9</Pages>
  <Words>3169</Words>
  <Characters>18069</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Meruert</dc:creator>
  <cp:keywords/>
  <dc:description/>
  <cp:lastModifiedBy>Альфа</cp:lastModifiedBy>
  <cp:revision>5</cp:revision>
  <dcterms:created xsi:type="dcterms:W3CDTF">2025-01-09T06:09:00Z</dcterms:created>
  <dcterms:modified xsi:type="dcterms:W3CDTF">2025-01-09T09:18:00Z</dcterms:modified>
</cp:coreProperties>
</file>